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1585" w14:textId="77777777" w:rsidR="00FD421E" w:rsidRDefault="00000000">
      <w:pPr>
        <w:spacing w:after="60"/>
        <w:jc w:val="center"/>
      </w:pPr>
      <w:r>
        <w:rPr>
          <w:rFonts w:ascii="Arial" w:eastAsia="Arial" w:hAnsi="Arial" w:cs="Arial"/>
          <w:b/>
          <w:bCs/>
          <w:color w:val="375623"/>
          <w:sz w:val="48"/>
          <w:szCs w:val="48"/>
        </w:rPr>
        <w:t xml:space="preserve">Curriculum Theory: </w:t>
      </w:r>
    </w:p>
    <w:p w14:paraId="6BBA5F30" w14:textId="77777777" w:rsidR="00FD421E" w:rsidRDefault="00000000">
      <w:pPr>
        <w:spacing w:after="60"/>
        <w:jc w:val="center"/>
      </w:pPr>
      <w:r>
        <w:rPr>
          <w:rFonts w:ascii="Arial" w:eastAsia="Arial" w:hAnsi="Arial" w:cs="Arial"/>
          <w:b/>
          <w:bCs/>
          <w:color w:val="1F3864"/>
          <w:sz w:val="40"/>
          <w:szCs w:val="40"/>
        </w:rPr>
        <w:t>Social Reconstruction Ideology</w:t>
      </w:r>
    </w:p>
    <w:p w14:paraId="67E2A667" w14:textId="77777777" w:rsidR="00FD421E" w:rsidRDefault="00000000">
      <w:pPr>
        <w:spacing w:after="60"/>
        <w:jc w:val="center"/>
      </w:pPr>
      <w:r>
        <w:rPr>
          <w:rFonts w:ascii="Calibri" w:eastAsia="Calibri" w:hAnsi="Calibri" w:cs="Calibri"/>
          <w:i/>
          <w:iCs/>
          <w:color w:val="555555"/>
          <w:sz w:val="22"/>
          <w:szCs w:val="22"/>
        </w:rPr>
        <w:t>Schiro, M.S. (2013). Curriculum Theory: Conflicting Visions and Enduring Concerns (2nd ed.). SAGE Publications.</w:t>
      </w: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0"/>
        <w:gridCol w:w="7360"/>
      </w:tblGrid>
      <w:tr w:rsidR="00FD421E" w14:paraId="684DBE48" w14:textId="77777777">
        <w:tc>
          <w:tcPr>
            <w:tcW w:w="9360" w:type="dxa"/>
            <w:gridSpan w:val="2"/>
            <w:tcBorders>
              <w:top w:val="single" w:sz="8" w:space="0" w:color="375623"/>
              <w:left w:val="single" w:sz="8" w:space="0" w:color="375623"/>
              <w:bottom w:val="single" w:sz="8" w:space="0" w:color="375623"/>
              <w:right w:val="single" w:sz="8" w:space="0" w:color="375623"/>
            </w:tcBorders>
            <w:shd w:val="clear" w:color="auto" w:fill="375623"/>
            <w:tcMar>
              <w:top w:w="160" w:type="dxa"/>
              <w:left w:w="200" w:type="dxa"/>
              <w:bottom w:w="160" w:type="dxa"/>
              <w:right w:w="200" w:type="dxa"/>
            </w:tcMar>
          </w:tcPr>
          <w:p w14:paraId="7D16A1E5" w14:textId="77777777" w:rsidR="00FD421E" w:rsidRDefault="00000000">
            <w:pPr>
              <w:jc w:val="center"/>
            </w:pPr>
            <w:r>
              <w:rPr>
                <w:rFonts w:ascii="Arial" w:eastAsia="Arial" w:hAnsi="Arial" w:cs="Arial"/>
                <w:b/>
                <w:bCs/>
                <w:color w:val="FFFFFF"/>
                <w:sz w:val="28"/>
                <w:szCs w:val="28"/>
              </w:rPr>
              <w:t>Social Reconstruction Ideology</w:t>
            </w:r>
          </w:p>
        </w:tc>
      </w:tr>
      <w:tr w:rsidR="00FD421E" w14:paraId="3D18CFFB" w14:textId="77777777">
        <w:tc>
          <w:tcPr>
            <w:tcW w:w="2000" w:type="dxa"/>
            <w:tcBorders>
              <w:top w:val="single" w:sz="4" w:space="0" w:color="999999"/>
              <w:left w:val="single" w:sz="4" w:space="0" w:color="999999"/>
              <w:bottom w:val="single" w:sz="4" w:space="0" w:color="999999"/>
              <w:right w:val="single" w:sz="4" w:space="0" w:color="999999"/>
            </w:tcBorders>
            <w:shd w:val="clear" w:color="auto" w:fill="375623"/>
            <w:tcMar>
              <w:top w:w="120" w:type="dxa"/>
              <w:left w:w="160" w:type="dxa"/>
              <w:bottom w:w="120" w:type="dxa"/>
              <w:right w:w="160" w:type="dxa"/>
            </w:tcMar>
            <w:vAlign w:val="center"/>
          </w:tcPr>
          <w:p w14:paraId="0989C62C" w14:textId="77777777" w:rsidR="00FD421E" w:rsidRDefault="00000000">
            <w:pPr>
              <w:jc w:val="center"/>
            </w:pPr>
            <w:r>
              <w:rPr>
                <w:rFonts w:ascii="Arial" w:eastAsia="Arial" w:hAnsi="Arial" w:cs="Arial"/>
                <w:b/>
                <w:bCs/>
                <w:color w:val="FFFFFF"/>
                <w:sz w:val="22"/>
                <w:szCs w:val="22"/>
              </w:rPr>
              <w:t>Aims</w:t>
            </w:r>
          </w:p>
        </w:tc>
        <w:tc>
          <w:tcPr>
            <w:tcW w:w="7360" w:type="dxa"/>
            <w:tcBorders>
              <w:top w:val="single" w:sz="4" w:space="0" w:color="999999"/>
              <w:left w:val="single" w:sz="4" w:space="0" w:color="999999"/>
              <w:bottom w:val="single" w:sz="4" w:space="0" w:color="999999"/>
              <w:right w:val="single" w:sz="4" w:space="0" w:color="999999"/>
            </w:tcBorders>
            <w:shd w:val="clear" w:color="auto" w:fill="E2EFDA"/>
            <w:tcMar>
              <w:top w:w="120" w:type="dxa"/>
              <w:left w:w="160" w:type="dxa"/>
              <w:bottom w:w="120" w:type="dxa"/>
              <w:right w:w="160" w:type="dxa"/>
            </w:tcMar>
          </w:tcPr>
          <w:p w14:paraId="05843CB0" w14:textId="77777777" w:rsidR="00FD421E" w:rsidRDefault="00000000">
            <w:pPr>
              <w:jc w:val="both"/>
            </w:pPr>
            <w:r>
              <w:rPr>
                <w:rFonts w:ascii="Calibri" w:eastAsia="Calibri" w:hAnsi="Calibri" w:cs="Calibri"/>
                <w:color w:val="222222"/>
                <w:sz w:val="22"/>
                <w:szCs w:val="22"/>
              </w:rPr>
              <w:t>The goal of education is to transform society by developing students' critical awareness of social injustice and empowering them to act as agents of change. Schools should not simply maintain the status quo but should help build a more equitable, just, and humane world for all people.</w:t>
            </w:r>
          </w:p>
        </w:tc>
      </w:tr>
      <w:tr w:rsidR="00FD421E" w14:paraId="6B29DEF9" w14:textId="77777777">
        <w:tc>
          <w:tcPr>
            <w:tcW w:w="2000" w:type="dxa"/>
            <w:tcBorders>
              <w:top w:val="single" w:sz="4" w:space="0" w:color="999999"/>
              <w:left w:val="single" w:sz="4" w:space="0" w:color="999999"/>
              <w:bottom w:val="single" w:sz="4" w:space="0" w:color="999999"/>
              <w:right w:val="single" w:sz="4" w:space="0" w:color="999999"/>
            </w:tcBorders>
            <w:shd w:val="clear" w:color="auto" w:fill="5F7E4B"/>
            <w:tcMar>
              <w:top w:w="120" w:type="dxa"/>
              <w:left w:w="160" w:type="dxa"/>
              <w:bottom w:w="120" w:type="dxa"/>
              <w:right w:w="160" w:type="dxa"/>
            </w:tcMar>
            <w:vAlign w:val="center"/>
          </w:tcPr>
          <w:p w14:paraId="7BEF91D1" w14:textId="77777777" w:rsidR="00FD421E" w:rsidRDefault="00000000">
            <w:pPr>
              <w:jc w:val="center"/>
            </w:pPr>
            <w:r>
              <w:rPr>
                <w:rFonts w:ascii="Arial" w:eastAsia="Arial" w:hAnsi="Arial" w:cs="Arial"/>
                <w:b/>
                <w:bCs/>
                <w:color w:val="FFFFFF"/>
                <w:sz w:val="22"/>
                <w:szCs w:val="22"/>
              </w:rPr>
              <w:t>Child</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30BA03A0" w14:textId="77777777" w:rsidR="00FD421E" w:rsidRDefault="00000000">
            <w:pPr>
              <w:jc w:val="both"/>
            </w:pPr>
            <w:r>
              <w:rPr>
                <w:rFonts w:ascii="Calibri" w:eastAsia="Calibri" w:hAnsi="Calibri" w:cs="Calibri"/>
                <w:color w:val="222222"/>
                <w:sz w:val="22"/>
                <w:szCs w:val="22"/>
              </w:rPr>
              <w:t>Children are viewed first as social beings whose identities and potential are shaped by the communities and power structures around them. They are active meaning-makers who arrive at school with real-world experiences, and their role is to grow into engaged, critical citizens capable of improving society.</w:t>
            </w:r>
          </w:p>
        </w:tc>
      </w:tr>
      <w:tr w:rsidR="00FD421E" w14:paraId="5B72A9FB" w14:textId="77777777">
        <w:tc>
          <w:tcPr>
            <w:tcW w:w="2000" w:type="dxa"/>
            <w:tcBorders>
              <w:top w:val="single" w:sz="4" w:space="0" w:color="999999"/>
              <w:left w:val="single" w:sz="4" w:space="0" w:color="999999"/>
              <w:bottom w:val="single" w:sz="4" w:space="0" w:color="999999"/>
              <w:right w:val="single" w:sz="4" w:space="0" w:color="999999"/>
            </w:tcBorders>
            <w:shd w:val="clear" w:color="auto" w:fill="375623"/>
            <w:tcMar>
              <w:top w:w="120" w:type="dxa"/>
              <w:left w:w="160" w:type="dxa"/>
              <w:bottom w:w="120" w:type="dxa"/>
              <w:right w:w="160" w:type="dxa"/>
            </w:tcMar>
            <w:vAlign w:val="center"/>
          </w:tcPr>
          <w:p w14:paraId="405BEC18" w14:textId="77777777" w:rsidR="00FD421E" w:rsidRDefault="00000000">
            <w:pPr>
              <w:jc w:val="center"/>
            </w:pPr>
            <w:r>
              <w:rPr>
                <w:rFonts w:ascii="Arial" w:eastAsia="Arial" w:hAnsi="Arial" w:cs="Arial"/>
                <w:b/>
                <w:bCs/>
                <w:color w:val="FFFFFF"/>
                <w:sz w:val="22"/>
                <w:szCs w:val="22"/>
              </w:rPr>
              <w:t>Learning</w:t>
            </w:r>
          </w:p>
        </w:tc>
        <w:tc>
          <w:tcPr>
            <w:tcW w:w="7360" w:type="dxa"/>
            <w:tcBorders>
              <w:top w:val="single" w:sz="4" w:space="0" w:color="999999"/>
              <w:left w:val="single" w:sz="4" w:space="0" w:color="999999"/>
              <w:bottom w:val="single" w:sz="4" w:space="0" w:color="999999"/>
              <w:right w:val="single" w:sz="4" w:space="0" w:color="999999"/>
            </w:tcBorders>
            <w:shd w:val="clear" w:color="auto" w:fill="E2EFDA"/>
            <w:tcMar>
              <w:top w:w="120" w:type="dxa"/>
              <w:left w:w="160" w:type="dxa"/>
              <w:bottom w:w="120" w:type="dxa"/>
              <w:right w:w="160" w:type="dxa"/>
            </w:tcMar>
          </w:tcPr>
          <w:p w14:paraId="217D354E" w14:textId="77777777" w:rsidR="00FD421E" w:rsidRDefault="00000000">
            <w:pPr>
              <w:jc w:val="both"/>
            </w:pPr>
            <w:r>
              <w:rPr>
                <w:rFonts w:ascii="Calibri" w:eastAsia="Calibri" w:hAnsi="Calibri" w:cs="Calibri"/>
                <w:color w:val="222222"/>
                <w:sz w:val="22"/>
                <w:szCs w:val="22"/>
              </w:rPr>
              <w:t xml:space="preserve">Learning is a social, experiential, and dialogic process. Students learn best when they engage with real social problems through direct experience, discussion, and critical reflection. Meaningful learning connects to </w:t>
            </w:r>
            <w:proofErr w:type="gramStart"/>
            <w:r>
              <w:rPr>
                <w:rFonts w:ascii="Calibri" w:eastAsia="Calibri" w:hAnsi="Calibri" w:cs="Calibri"/>
                <w:color w:val="222222"/>
                <w:sz w:val="22"/>
                <w:szCs w:val="22"/>
              </w:rPr>
              <w:t>students'</w:t>
            </w:r>
            <w:proofErr w:type="gramEnd"/>
            <w:r>
              <w:rPr>
                <w:rFonts w:ascii="Calibri" w:eastAsia="Calibri" w:hAnsi="Calibri" w:cs="Calibri"/>
                <w:color w:val="222222"/>
                <w:sz w:val="22"/>
                <w:szCs w:val="22"/>
              </w:rPr>
              <w:t xml:space="preserve"> lived experiences and moves them toward analysis, vision, and action.</w:t>
            </w:r>
          </w:p>
        </w:tc>
      </w:tr>
      <w:tr w:rsidR="00FD421E" w14:paraId="2B2E91A8" w14:textId="77777777">
        <w:tc>
          <w:tcPr>
            <w:tcW w:w="2000" w:type="dxa"/>
            <w:tcBorders>
              <w:top w:val="single" w:sz="4" w:space="0" w:color="999999"/>
              <w:left w:val="single" w:sz="4" w:space="0" w:color="999999"/>
              <w:bottom w:val="single" w:sz="4" w:space="0" w:color="999999"/>
              <w:right w:val="single" w:sz="4" w:space="0" w:color="999999"/>
            </w:tcBorders>
            <w:shd w:val="clear" w:color="auto" w:fill="5F7E4B"/>
            <w:tcMar>
              <w:top w:w="120" w:type="dxa"/>
              <w:left w:w="160" w:type="dxa"/>
              <w:bottom w:w="120" w:type="dxa"/>
              <w:right w:w="160" w:type="dxa"/>
            </w:tcMar>
            <w:vAlign w:val="center"/>
          </w:tcPr>
          <w:p w14:paraId="58EFE84F" w14:textId="77777777" w:rsidR="00FD421E" w:rsidRDefault="00000000">
            <w:pPr>
              <w:jc w:val="center"/>
            </w:pPr>
            <w:r>
              <w:rPr>
                <w:rFonts w:ascii="Arial" w:eastAsia="Arial" w:hAnsi="Arial" w:cs="Arial"/>
                <w:b/>
                <w:bCs/>
                <w:color w:val="FFFFFF"/>
                <w:sz w:val="22"/>
                <w:szCs w:val="22"/>
              </w:rPr>
              <w:t>Teaching</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06B00EA5" w14:textId="77777777" w:rsidR="00FD421E" w:rsidRDefault="00000000">
            <w:pPr>
              <w:jc w:val="both"/>
            </w:pPr>
            <w:r>
              <w:rPr>
                <w:rFonts w:ascii="Calibri" w:eastAsia="Calibri" w:hAnsi="Calibri" w:cs="Calibri"/>
                <w:color w:val="222222"/>
                <w:sz w:val="22"/>
                <w:szCs w:val="22"/>
              </w:rPr>
              <w:t>The teacher functions as a colleague, catalyst, and critical companion rather than an authority. Teachers openly share their own social values and perspectives, facilitate discussion of social issues, and guide students toward a vision of a more just society, all while engaging in the learning process alongside their students.</w:t>
            </w:r>
          </w:p>
        </w:tc>
      </w:tr>
      <w:tr w:rsidR="00FD421E" w14:paraId="4C95EB37" w14:textId="77777777">
        <w:tc>
          <w:tcPr>
            <w:tcW w:w="2000" w:type="dxa"/>
            <w:tcBorders>
              <w:top w:val="single" w:sz="4" w:space="0" w:color="999999"/>
              <w:left w:val="single" w:sz="4" w:space="0" w:color="999999"/>
              <w:bottom w:val="single" w:sz="4" w:space="0" w:color="999999"/>
              <w:right w:val="single" w:sz="4" w:space="0" w:color="999999"/>
            </w:tcBorders>
            <w:shd w:val="clear" w:color="auto" w:fill="375623"/>
            <w:tcMar>
              <w:top w:w="120" w:type="dxa"/>
              <w:left w:w="160" w:type="dxa"/>
              <w:bottom w:w="120" w:type="dxa"/>
              <w:right w:w="160" w:type="dxa"/>
            </w:tcMar>
            <w:vAlign w:val="center"/>
          </w:tcPr>
          <w:p w14:paraId="349698F9" w14:textId="77777777" w:rsidR="00FD421E" w:rsidRDefault="00000000">
            <w:pPr>
              <w:jc w:val="center"/>
            </w:pPr>
            <w:r>
              <w:rPr>
                <w:rFonts w:ascii="Arial" w:eastAsia="Arial" w:hAnsi="Arial" w:cs="Arial"/>
                <w:b/>
                <w:bCs/>
                <w:color w:val="FFFFFF"/>
                <w:sz w:val="22"/>
                <w:szCs w:val="22"/>
              </w:rPr>
              <w:t>Knowledge</w:t>
            </w:r>
          </w:p>
        </w:tc>
        <w:tc>
          <w:tcPr>
            <w:tcW w:w="7360" w:type="dxa"/>
            <w:tcBorders>
              <w:top w:val="single" w:sz="4" w:space="0" w:color="999999"/>
              <w:left w:val="single" w:sz="4" w:space="0" w:color="999999"/>
              <w:bottom w:val="single" w:sz="4" w:space="0" w:color="999999"/>
              <w:right w:val="single" w:sz="4" w:space="0" w:color="999999"/>
            </w:tcBorders>
            <w:shd w:val="clear" w:color="auto" w:fill="E2EFDA"/>
            <w:tcMar>
              <w:top w:w="120" w:type="dxa"/>
              <w:left w:w="160" w:type="dxa"/>
              <w:bottom w:w="120" w:type="dxa"/>
              <w:right w:w="160" w:type="dxa"/>
            </w:tcMar>
          </w:tcPr>
          <w:p w14:paraId="1077521D" w14:textId="77777777" w:rsidR="00FD421E" w:rsidRDefault="00000000">
            <w:pPr>
              <w:jc w:val="both"/>
            </w:pPr>
            <w:r>
              <w:rPr>
                <w:rFonts w:ascii="Calibri" w:eastAsia="Calibri" w:hAnsi="Calibri" w:cs="Calibri"/>
                <w:color w:val="222222"/>
                <w:sz w:val="22"/>
                <w:szCs w:val="22"/>
              </w:rPr>
              <w:t xml:space="preserve">Knowledge is subjective, socially constructed, and </w:t>
            </w:r>
            <w:proofErr w:type="gramStart"/>
            <w:r>
              <w:rPr>
                <w:rFonts w:ascii="Calibri" w:eastAsia="Calibri" w:hAnsi="Calibri" w:cs="Calibri"/>
                <w:color w:val="222222"/>
                <w:sz w:val="22"/>
                <w:szCs w:val="22"/>
              </w:rPr>
              <w:t>value-laden</w:t>
            </w:r>
            <w:proofErr w:type="gramEnd"/>
            <w:r>
              <w:rPr>
                <w:rFonts w:ascii="Calibri" w:eastAsia="Calibri" w:hAnsi="Calibri" w:cs="Calibri"/>
                <w:color w:val="222222"/>
                <w:sz w:val="22"/>
                <w:szCs w:val="22"/>
              </w:rPr>
              <w:t>. The most important knowledge enables students to critically analyze society, understand systems of oppression, and take meaningful action. Knowledge derives its authority from its power to help people reconstruct society toward justice and human dignity.</w:t>
            </w:r>
          </w:p>
        </w:tc>
      </w:tr>
      <w:tr w:rsidR="00FD421E" w14:paraId="12226B0B" w14:textId="77777777">
        <w:tc>
          <w:tcPr>
            <w:tcW w:w="2000" w:type="dxa"/>
            <w:tcBorders>
              <w:top w:val="single" w:sz="4" w:space="0" w:color="999999"/>
              <w:left w:val="single" w:sz="4" w:space="0" w:color="999999"/>
              <w:bottom w:val="single" w:sz="4" w:space="0" w:color="999999"/>
              <w:right w:val="single" w:sz="4" w:space="0" w:color="999999"/>
            </w:tcBorders>
            <w:shd w:val="clear" w:color="auto" w:fill="5F7E4B"/>
            <w:tcMar>
              <w:top w:w="120" w:type="dxa"/>
              <w:left w:w="160" w:type="dxa"/>
              <w:bottom w:w="120" w:type="dxa"/>
              <w:right w:w="160" w:type="dxa"/>
            </w:tcMar>
            <w:vAlign w:val="center"/>
          </w:tcPr>
          <w:p w14:paraId="2E6D7E2A" w14:textId="77777777" w:rsidR="00FD421E" w:rsidRDefault="00000000">
            <w:pPr>
              <w:jc w:val="center"/>
            </w:pPr>
            <w:r>
              <w:rPr>
                <w:rFonts w:ascii="Arial" w:eastAsia="Arial" w:hAnsi="Arial" w:cs="Arial"/>
                <w:b/>
                <w:bCs/>
                <w:color w:val="FFFFFF"/>
                <w:sz w:val="22"/>
                <w:szCs w:val="22"/>
              </w:rPr>
              <w:t>Evaluation</w:t>
            </w:r>
          </w:p>
        </w:tc>
        <w:tc>
          <w:tcPr>
            <w:tcW w:w="7360" w:type="dxa"/>
            <w:tcBorders>
              <w:top w:val="single" w:sz="4" w:space="0" w:color="999999"/>
              <w:left w:val="single" w:sz="4" w:space="0" w:color="999999"/>
              <w:bottom w:val="single" w:sz="4" w:space="0" w:color="999999"/>
              <w:right w:val="single" w:sz="4" w:space="0" w:color="999999"/>
            </w:tcBorders>
            <w:shd w:val="clear" w:color="auto" w:fill="F5F5F5"/>
            <w:tcMar>
              <w:top w:w="120" w:type="dxa"/>
              <w:left w:w="160" w:type="dxa"/>
              <w:bottom w:w="120" w:type="dxa"/>
              <w:right w:w="160" w:type="dxa"/>
            </w:tcMar>
          </w:tcPr>
          <w:p w14:paraId="398DDB4A" w14:textId="77777777" w:rsidR="00FD421E" w:rsidRDefault="00000000">
            <w:pPr>
              <w:jc w:val="both"/>
            </w:pPr>
            <w:r>
              <w:rPr>
                <w:rFonts w:ascii="Calibri" w:eastAsia="Calibri" w:hAnsi="Calibri" w:cs="Calibri"/>
                <w:color w:val="222222"/>
                <w:sz w:val="22"/>
                <w:szCs w:val="22"/>
              </w:rPr>
              <w:t>The evaluation focuses on students' growth as critical thinkers and social actors, rather than on measurable academic performance. Authentic assessment asks: Has the student developed the ability to analyze society, articulate a vision of a better world, and act to bring it about? Standardized testing is viewed as antithetical to these goals.</w:t>
            </w:r>
          </w:p>
        </w:tc>
      </w:tr>
    </w:tbl>
    <w:p w14:paraId="4D715193" w14:textId="77777777" w:rsidR="00FD421E" w:rsidRDefault="00FD421E">
      <w:pPr>
        <w:spacing w:before="300"/>
      </w:pPr>
    </w:p>
    <w:p w14:paraId="0F53404F" w14:textId="77777777" w:rsidR="00FD421E" w:rsidRDefault="00000000">
      <w:pPr>
        <w:pBdr>
          <w:bottom w:val="single" w:sz="8" w:space="4" w:color="375623"/>
        </w:pBdr>
        <w:spacing w:before="320" w:after="160"/>
      </w:pPr>
      <w:r>
        <w:rPr>
          <w:rFonts w:ascii="Arial" w:eastAsia="Arial" w:hAnsi="Arial" w:cs="Arial"/>
          <w:b/>
          <w:bCs/>
          <w:color w:val="375623"/>
          <w:sz w:val="28"/>
          <w:szCs w:val="28"/>
        </w:rPr>
        <w:t>TEKS and Texas Accountability Ratings: Alignment with Social Reconstruction?</w:t>
      </w:r>
    </w:p>
    <w:p w14:paraId="07D6CA41" w14:textId="77777777" w:rsidR="00FD421E" w:rsidRDefault="00FD421E">
      <w:pPr>
        <w:spacing w:before="80"/>
      </w:pPr>
    </w:p>
    <w:p w14:paraId="5619D1E4" w14:textId="77777777" w:rsidR="00FD421E" w:rsidRDefault="00000000">
      <w:pPr>
        <w:spacing w:after="140"/>
        <w:jc w:val="both"/>
      </w:pPr>
      <w:r>
        <w:rPr>
          <w:rFonts w:ascii="Calibri" w:eastAsia="Calibri" w:hAnsi="Calibri" w:cs="Calibri"/>
          <w:color w:val="222222"/>
          <w:sz w:val="24"/>
          <w:szCs w:val="24"/>
        </w:rPr>
        <w:t xml:space="preserve">The Texas Essential Knowledge and Skills (TEKS) and the Texas Accountability Ratings System (TARS) reflect a fundamentally different vision of education than the one described in the Social Reconstruction ideology. While 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believe that the purpose of schooling is to empower students to critically examine and actively transform an unjust society, the TEKS and TARS are built on a framework of standardized content, measurable outcomes, and high-stakes accountability, priorities that Schiro explicitly identifies as antithetical to Social Reconstruction values.</w:t>
      </w:r>
    </w:p>
    <w:p w14:paraId="3795ED19" w14:textId="77777777" w:rsidR="00FD421E" w:rsidRDefault="00000000">
      <w:pPr>
        <w:spacing w:after="140"/>
        <w:jc w:val="both"/>
      </w:pPr>
      <w:r>
        <w:rPr>
          <w:rFonts w:ascii="Calibri" w:eastAsia="Calibri" w:hAnsi="Calibri" w:cs="Calibri"/>
          <w:color w:val="222222"/>
          <w:sz w:val="24"/>
          <w:szCs w:val="24"/>
        </w:rPr>
        <w:t xml:space="preserve">First, consider the TEKS. These state-mandated curriculum standards define precisely what students in every grade and subject area are expected to know and be able to do. The content is largely objective, discipline-based, and predetermined by the state, rather than negotiated among teachers, students, and communities based on lived social experience. From a Social Reconstruction perspective, this top-down structure is deeply problematic. As Schiro notes, 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believe that "no curriculum, policy, or program is ideologically or politically innocent" (Schiro, 2013, p. 171) and that any standardized curriculum inevitably reflects and reinforces the values and interests of those who hold social and political power. The TEKS, developed under the authority of the Texas State Board of Education, have in fact been the subject of significant political controversy precisely because of whose values they reflect and whose histories, experiences, and perspectives they marginalize or exclude.</w:t>
      </w:r>
    </w:p>
    <w:p w14:paraId="0DB5A6AF" w14:textId="77777777" w:rsidR="00FD421E" w:rsidRDefault="00000000">
      <w:pPr>
        <w:spacing w:after="140"/>
        <w:jc w:val="both"/>
      </w:pPr>
      <w:r>
        <w:rPr>
          <w:rFonts w:ascii="Calibri" w:eastAsia="Calibri" w:hAnsi="Calibri" w:cs="Calibri"/>
          <w:color w:val="222222"/>
          <w:sz w:val="24"/>
          <w:szCs w:val="24"/>
        </w:rPr>
        <w:t xml:space="preserve">Furthermore, the TEKS prioritize measurable academic content in mathematics, reading, science, and social studies, thereby privileging what Schiro calls "objective knowledge": facts, skills, and procedures that can be tested and quantified. 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by contrast, value "subjective, value-laden knowledge" that helps students understand systems of oppression, develop a vision of a more just society, and </w:t>
      </w:r>
      <w:proofErr w:type="gramStart"/>
      <w:r>
        <w:rPr>
          <w:rFonts w:ascii="Calibri" w:eastAsia="Calibri" w:hAnsi="Calibri" w:cs="Calibri"/>
          <w:color w:val="222222"/>
          <w:sz w:val="24"/>
          <w:szCs w:val="24"/>
        </w:rPr>
        <w:t>take action</w:t>
      </w:r>
      <w:proofErr w:type="gramEnd"/>
      <w:r>
        <w:rPr>
          <w:rFonts w:ascii="Calibri" w:eastAsia="Calibri" w:hAnsi="Calibri" w:cs="Calibri"/>
          <w:color w:val="222222"/>
          <w:sz w:val="24"/>
          <w:szCs w:val="24"/>
        </w:rPr>
        <w:t xml:space="preserve"> (Schiro, 2013, p. 189). The TEKS include little to no explicit attention to the kinds of critical, justice-oriented learning that 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consider most essential. Students are not asked to analyze wealth inequality in their community, examine racial disparities in school discipline, or develop and implement plans for social change, the very activities that define Social Reconstruction education in Schiro's examples, such as the Highlander Folk School and the sixth-grade mathematics classroom described in Chapter 5.</w:t>
      </w:r>
    </w:p>
    <w:p w14:paraId="0CC84FCF" w14:textId="77777777" w:rsidR="00FD421E" w:rsidRDefault="00000000">
      <w:pPr>
        <w:spacing w:after="140"/>
        <w:jc w:val="both"/>
      </w:pPr>
      <w:r>
        <w:rPr>
          <w:rFonts w:ascii="Calibri" w:eastAsia="Calibri" w:hAnsi="Calibri" w:cs="Calibri"/>
          <w:color w:val="222222"/>
          <w:sz w:val="24"/>
          <w:szCs w:val="24"/>
        </w:rPr>
        <w:t>The Texas Accountability Ratings System deepens this misalignment. TARS evaluates campuses and districts primarily through student performance on standardized assessments, most notably the STAAR (State of Texas Assessments of Academic Readiness). Schools are assigned performance ratings that carry significant consequences: schools that consistently underperform face state intervention, restructuring, or closure. From a Social Reconstruction perspective, this accountability system is not neutral. Schiro warns that high-stakes testing regimes are "not just an attempt to monitor students, teachers, and schools, but rather are 'designed to exert increased control over both teachers and students'" (Schiro, 2013, p. 195). When teacher effectiveness is judged by student test scores and school survival depends on those ratings, teachers face enormous pressure to "teach to the test," a practice that leaves little room for the open-ended inquiry, community-based projects, and critical social dialogue that Social Reconstruction pedagogy requires.</w:t>
      </w:r>
    </w:p>
    <w:p w14:paraId="7BAA6F91" w14:textId="77777777" w:rsidR="00FD421E" w:rsidRDefault="00000000">
      <w:pPr>
        <w:spacing w:after="140"/>
        <w:jc w:val="both"/>
      </w:pPr>
      <w:r>
        <w:rPr>
          <w:rFonts w:ascii="Calibri" w:eastAsia="Calibri" w:hAnsi="Calibri" w:cs="Calibri"/>
          <w:color w:val="222222"/>
          <w:sz w:val="24"/>
          <w:szCs w:val="24"/>
        </w:rPr>
        <w:t xml:space="preserve">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also raise a deeper concern about who benefits from the current accountability system. Schiro describes how corporations and business interests have increasingly shaped public education policy, aligning schooling with the needs of the labor market rather than </w:t>
      </w:r>
      <w:r>
        <w:rPr>
          <w:rFonts w:ascii="Calibri" w:eastAsia="Calibri" w:hAnsi="Calibri" w:cs="Calibri"/>
          <w:color w:val="222222"/>
          <w:sz w:val="24"/>
          <w:szCs w:val="24"/>
        </w:rPr>
        <w:lastRenderedPageBreak/>
        <w:t>those of society's most marginalized members (Schiro, 2013, p. 196). This critique applies directly to Texas, where the influence of business coalitions on education policy has been well-documented, and where accountability metrics tend to favor schools in wealthier districts that already have access to more resources, while schools serving low-income students and students of color are disproportionately labeled as "failing" and subjected to punitive interventions.</w:t>
      </w:r>
    </w:p>
    <w:p w14:paraId="548716CB" w14:textId="77777777" w:rsidR="00FD421E" w:rsidRDefault="00000000">
      <w:pPr>
        <w:spacing w:after="140"/>
        <w:jc w:val="both"/>
      </w:pPr>
      <w:r>
        <w:rPr>
          <w:rFonts w:ascii="Calibri" w:eastAsia="Calibri" w:hAnsi="Calibri" w:cs="Calibri"/>
          <w:color w:val="222222"/>
          <w:sz w:val="24"/>
          <w:szCs w:val="24"/>
        </w:rPr>
        <w:t xml:space="preserve">In summary, the TEKS and TARS are not aligned with the Social Reconstruction ideology. They are aligned far more closely with what Schiro calls the Social Efficiency ideology, a framework that prioritizes measurable behavioral outcomes, standardized content, efficient curriculum delivery, and accountability to external clients. The TEKS define what students should know; the TARS measure whether they know it; and both systems assume that the purpose of schooling is to produce students who can perform specific, predetermined academic tasks. This is precisely the model of education that Social </w:t>
      </w:r>
      <w:proofErr w:type="spellStart"/>
      <w:r>
        <w:rPr>
          <w:rFonts w:ascii="Calibri" w:eastAsia="Calibri" w:hAnsi="Calibri" w:cs="Calibri"/>
          <w:color w:val="222222"/>
          <w:sz w:val="24"/>
          <w:szCs w:val="24"/>
        </w:rPr>
        <w:t>Reconstructionists</w:t>
      </w:r>
      <w:proofErr w:type="spellEnd"/>
      <w:r>
        <w:rPr>
          <w:rFonts w:ascii="Calibri" w:eastAsia="Calibri" w:hAnsi="Calibri" w:cs="Calibri"/>
          <w:color w:val="222222"/>
          <w:sz w:val="24"/>
          <w:szCs w:val="24"/>
        </w:rPr>
        <w:t xml:space="preserve"> critique as a mechanism for maintaining social inequality and reinforcing existing power structures. A truly Social Reconstruction curriculum, by contrast, would begin not with state standards but with students' lives, with the injustices they witness, the communities they belong to, and the vision of a better world they are empowered to help create.</w:t>
      </w:r>
    </w:p>
    <w:p w14:paraId="5D825305" w14:textId="77777777" w:rsidR="00FD421E" w:rsidRDefault="00FD421E">
      <w:pPr>
        <w:spacing w:before="200"/>
      </w:pPr>
    </w:p>
    <w:p w14:paraId="6BB7C885" w14:textId="77777777" w:rsidR="00FD421E" w:rsidRDefault="00000000">
      <w:pPr>
        <w:pBdr>
          <w:left w:val="single" w:sz="16" w:space="12" w:color="375623"/>
        </w:pBdr>
        <w:spacing w:before="200" w:after="80"/>
        <w:ind w:left="280"/>
      </w:pPr>
      <w:r>
        <w:rPr>
          <w:rFonts w:ascii="Arial" w:eastAsia="Arial" w:hAnsi="Arial" w:cs="Arial"/>
          <w:b/>
          <w:bCs/>
          <w:color w:val="375623"/>
          <w:sz w:val="24"/>
          <w:szCs w:val="24"/>
        </w:rPr>
        <w:t>Reflection</w:t>
      </w:r>
    </w:p>
    <w:p w14:paraId="04949121" w14:textId="77777777" w:rsidR="00FD421E" w:rsidRDefault="00000000">
      <w:pPr>
        <w:spacing w:after="120"/>
        <w:ind w:left="280"/>
        <w:jc w:val="both"/>
      </w:pPr>
      <w:r>
        <w:rPr>
          <w:rFonts w:ascii="Calibri" w:eastAsia="Calibri" w:hAnsi="Calibri" w:cs="Calibri"/>
          <w:i/>
          <w:iCs/>
          <w:color w:val="555555"/>
          <w:sz w:val="22"/>
          <w:szCs w:val="22"/>
        </w:rPr>
        <w:t>Thinking about your own school or district: In what small but meaningful ways could a Social Reconstruction approach be integrated into your current teaching context, even within the constraints of TEKS and STAAR accountability?</w:t>
      </w:r>
    </w:p>
    <w:p w14:paraId="52904760" w14:textId="77777777" w:rsidR="00FD421E" w:rsidRDefault="00FD421E">
      <w:pPr>
        <w:spacing w:before="200"/>
      </w:pPr>
    </w:p>
    <w:p w14:paraId="040F040C" w14:textId="77777777" w:rsidR="00FD421E" w:rsidRDefault="00000000">
      <w:pPr>
        <w:pBdr>
          <w:bottom w:val="single" w:sz="8" w:space="4" w:color="375623"/>
        </w:pBdr>
        <w:spacing w:before="320" w:after="160"/>
      </w:pPr>
      <w:r>
        <w:rPr>
          <w:rFonts w:ascii="Arial" w:eastAsia="Arial" w:hAnsi="Arial" w:cs="Arial"/>
          <w:b/>
          <w:bCs/>
          <w:color w:val="375623"/>
          <w:sz w:val="24"/>
          <w:szCs w:val="24"/>
        </w:rPr>
        <w:t>Reference</w:t>
      </w:r>
    </w:p>
    <w:p w14:paraId="4F1AEF7D" w14:textId="77777777" w:rsidR="00FD421E" w:rsidRDefault="00000000">
      <w:pPr>
        <w:spacing w:before="80"/>
        <w:ind w:left="720" w:hanging="720"/>
      </w:pPr>
      <w:r>
        <w:rPr>
          <w:rFonts w:ascii="Calibri" w:eastAsia="Calibri" w:hAnsi="Calibri" w:cs="Calibri"/>
          <w:color w:val="222222"/>
          <w:sz w:val="22"/>
          <w:szCs w:val="22"/>
        </w:rPr>
        <w:t xml:space="preserve">Schiro, M. S. (2013). </w:t>
      </w:r>
      <w:r>
        <w:rPr>
          <w:rFonts w:ascii="Calibri" w:eastAsia="Calibri" w:hAnsi="Calibri" w:cs="Calibri"/>
          <w:i/>
          <w:iCs/>
          <w:color w:val="555555"/>
          <w:sz w:val="22"/>
          <w:szCs w:val="22"/>
        </w:rPr>
        <w:t xml:space="preserve">Curriculum Theory: Conflicting Visions and Enduring Concerns </w:t>
      </w:r>
      <w:r>
        <w:rPr>
          <w:rFonts w:ascii="Calibri" w:eastAsia="Calibri" w:hAnsi="Calibri" w:cs="Calibri"/>
          <w:color w:val="222222"/>
          <w:sz w:val="22"/>
          <w:szCs w:val="22"/>
        </w:rPr>
        <w:t>(2nd ed.). SAGE Publications.</w:t>
      </w:r>
    </w:p>
    <w:sectPr w:rsidR="00FD421E">
      <w:headerReference w:type="default" r:id="rId7"/>
      <w:pgSz w:w="12240" w:h="15840"/>
      <w:pgMar w:top="1296" w:right="1296" w:bottom="1296" w:left="129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3A78D" w14:textId="77777777" w:rsidR="005C1EB2" w:rsidRDefault="005C1EB2">
      <w:r>
        <w:separator/>
      </w:r>
    </w:p>
  </w:endnote>
  <w:endnote w:type="continuationSeparator" w:id="0">
    <w:p w14:paraId="499EC1A9" w14:textId="77777777" w:rsidR="005C1EB2" w:rsidRDefault="005C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205FB4C-0625-D544-B84B-8643A4979DDE}"/>
    <w:embedBold r:id="rId2" w:fontKey="{970FD8AA-2E60-6C43-9D20-F1C8CBFB450B}"/>
    <w:embedItalic r:id="rId3" w:fontKey="{C7FAF2C4-5BDE-C342-8CAD-3F15D1396391}"/>
  </w:font>
  <w:font w:name="Georgia">
    <w:panose1 w:val="02040502050405020303"/>
    <w:charset w:val="00"/>
    <w:family w:val="roman"/>
    <w:pitch w:val="variable"/>
    <w:sig w:usb0="00000287" w:usb1="00000000" w:usb2="00000000" w:usb3="00000000" w:csb0="0000009F" w:csb1="00000000"/>
    <w:embedItalic r:id="rId4" w:fontKey="{48584AC5-1278-F248-B1FC-B18339E97759}"/>
  </w:font>
  <w:font w:name="Arial">
    <w:panose1 w:val="020B0604020202020204"/>
    <w:charset w:val="00"/>
    <w:family w:val="swiss"/>
    <w:pitch w:val="variable"/>
    <w:sig w:usb0="E0002AFF" w:usb1="C0007843" w:usb2="00000009" w:usb3="00000000" w:csb0="000001FF" w:csb1="00000000"/>
    <w:embedBold r:id="rId5" w:fontKey="{49CCB69B-332A-DA45-8088-C001109F41AC}"/>
  </w:font>
  <w:font w:name="Calibri">
    <w:panose1 w:val="020F0502020204030204"/>
    <w:charset w:val="00"/>
    <w:family w:val="swiss"/>
    <w:pitch w:val="variable"/>
    <w:sig w:usb0="E0002AFF" w:usb1="C000247B" w:usb2="00000009" w:usb3="00000000" w:csb0="000001FF" w:csb1="00000000"/>
    <w:embedRegular r:id="rId6" w:fontKey="{3B8DDEB8-8AB9-2B49-8919-A87F8C3C34DA}"/>
    <w:embedItalic r:id="rId7" w:fontKey="{68A33060-AC1E-DE4C-A4B6-C5185963CA33}"/>
  </w:font>
  <w:font w:name="Cambria">
    <w:panose1 w:val="02040503050406030204"/>
    <w:charset w:val="00"/>
    <w:family w:val="roman"/>
    <w:pitch w:val="variable"/>
    <w:sig w:usb0="E00002FF" w:usb1="400004FF" w:usb2="00000000" w:usb3="00000000" w:csb0="0000019F" w:csb1="00000000"/>
    <w:embedRegular r:id="rId8" w:fontKey="{32A92970-FD82-CB4E-9F6D-6695765E753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6D91B" w14:textId="77777777" w:rsidR="005C1EB2" w:rsidRDefault="005C1EB2">
      <w:r>
        <w:separator/>
      </w:r>
    </w:p>
  </w:footnote>
  <w:footnote w:type="continuationSeparator" w:id="0">
    <w:p w14:paraId="79F1DE5B" w14:textId="77777777" w:rsidR="005C1EB2" w:rsidRDefault="005C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7381" w14:textId="77777777" w:rsidR="00FD421E" w:rsidRDefault="00000000">
    <w:pPr>
      <w:pBdr>
        <w:bottom w:val="single" w:sz="6" w:space="4" w:color="375623"/>
      </w:pBdr>
      <w:tabs>
        <w:tab w:val="right" w:pos="9360"/>
      </w:tabs>
      <w:spacing w:after="80"/>
    </w:pPr>
    <w:r>
      <w:rPr>
        <w:rFonts w:ascii="Calibri" w:eastAsia="Calibri" w:hAnsi="Calibri" w:cs="Calibri"/>
        <w:color w:val="555555"/>
        <w:sz w:val="18"/>
        <w:szCs w:val="18"/>
      </w:rPr>
      <w:t xml:space="preserve">Social Reconstruction </w:t>
    </w:r>
    <w:proofErr w:type="spellStart"/>
    <w:r>
      <w:rPr>
        <w:rFonts w:ascii="Calibri" w:eastAsia="Calibri" w:hAnsi="Calibri" w:cs="Calibri"/>
        <w:color w:val="555555"/>
        <w:sz w:val="18"/>
        <w:szCs w:val="18"/>
      </w:rPr>
      <w:t>Ideology</w:t>
    </w:r>
    <w:r>
      <w:rPr>
        <w:rFonts w:ascii="Calibri" w:eastAsia="Calibri" w:hAnsi="Calibri" w:cs="Calibri"/>
        <w:i/>
        <w:iCs/>
        <w:color w:val="555555"/>
        <w:sz w:val="18"/>
        <w:szCs w:val="18"/>
      </w:rPr>
      <w:t>Schiro</w:t>
    </w:r>
    <w:proofErr w:type="spellEnd"/>
    <w:r>
      <w:rPr>
        <w:rFonts w:ascii="Calibri" w:eastAsia="Calibri" w:hAnsi="Calibri" w:cs="Calibri"/>
        <w:i/>
        <w:iCs/>
        <w:color w:val="555555"/>
        <w:sz w:val="18"/>
        <w:szCs w:val="18"/>
      </w:rPr>
      <w:t>, M.S. | Curriculum Theory, 2nd ed.</w:t>
    </w:r>
  </w:p>
  <w:p w14:paraId="76B6ED28" w14:textId="77777777" w:rsidR="00FD421E" w:rsidRDefault="00FD421E">
    <w:pPr>
      <w:pBdr>
        <w:bottom w:val="single" w:sz="6" w:space="4" w:color="375623"/>
      </w:pBdr>
      <w:tabs>
        <w:tab w:val="right" w:pos="9360"/>
      </w:tabs>
      <w:spacing w:after="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21E"/>
    <w:rsid w:val="00182E9C"/>
    <w:rsid w:val="00305675"/>
    <w:rsid w:val="005C1EB2"/>
    <w:rsid w:val="00682DB5"/>
    <w:rsid w:val="00D94AFB"/>
    <w:rsid w:val="00DA2765"/>
    <w:rsid w:val="00FD4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6E6A96"/>
  <w15:docId w15:val="{41E3484D-9CB1-2C4D-9DC3-A4686645E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u4z1a46jv8HSGRs4I8EORdhdNg==">CgMxLjA4AHIhMXZUdEtQVVo1OXpkRlpjdlZwWU0tcWNWZU5zLVlISTZC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1110</Words>
  <Characters>6821</Characters>
  <Application>Microsoft Office Word</Application>
  <DocSecurity>0</DocSecurity>
  <Lines>110</Lines>
  <Paragraphs>31</Paragraphs>
  <ScaleCrop>false</ScaleCrop>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Sharhonda Faye Sculark</cp:lastModifiedBy>
  <cp:revision>2</cp:revision>
  <dcterms:created xsi:type="dcterms:W3CDTF">2026-04-11T01:08:00Z</dcterms:created>
  <dcterms:modified xsi:type="dcterms:W3CDTF">2026-04-11T01:08:00Z</dcterms:modified>
</cp:coreProperties>
</file>