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6B9F8" w14:textId="77777777" w:rsidR="002120B7" w:rsidRDefault="002120B7">
      <w:pPr>
        <w:spacing w:before="200"/>
      </w:pPr>
    </w:p>
    <w:p w14:paraId="2919673D" w14:textId="77777777" w:rsidR="002120B7" w:rsidRDefault="00000000">
      <w:pPr>
        <w:spacing w:after="60"/>
        <w:jc w:val="center"/>
      </w:pPr>
      <w:r>
        <w:rPr>
          <w:rFonts w:ascii="Arial" w:eastAsia="Arial" w:hAnsi="Arial" w:cs="Arial"/>
          <w:b/>
          <w:bCs/>
          <w:color w:val="2E75B6"/>
          <w:sz w:val="48"/>
          <w:szCs w:val="48"/>
        </w:rPr>
        <w:t xml:space="preserve">Curriculum Theory: </w:t>
      </w:r>
    </w:p>
    <w:p w14:paraId="4E9A6AA6" w14:textId="77777777" w:rsidR="002120B7" w:rsidRDefault="00000000">
      <w:pPr>
        <w:spacing w:after="60"/>
        <w:jc w:val="center"/>
      </w:pPr>
      <w:r>
        <w:rPr>
          <w:rFonts w:ascii="Arial" w:eastAsia="Arial" w:hAnsi="Arial" w:cs="Arial"/>
          <w:b/>
          <w:bCs/>
          <w:color w:val="1F3864"/>
          <w:sz w:val="40"/>
          <w:szCs w:val="40"/>
        </w:rPr>
        <w:t>Learner Centered Ideology</w:t>
      </w:r>
    </w:p>
    <w:p w14:paraId="14FA33D4" w14:textId="77777777" w:rsidR="002120B7" w:rsidRDefault="00000000">
      <w:pPr>
        <w:spacing w:after="60"/>
        <w:jc w:val="center"/>
      </w:pPr>
      <w:r>
        <w:rPr>
          <w:rFonts w:ascii="Calibri" w:eastAsia="Calibri" w:hAnsi="Calibri" w:cs="Calibri"/>
          <w:i/>
          <w:iCs/>
          <w:color w:val="555555"/>
          <w:sz w:val="22"/>
          <w:szCs w:val="22"/>
        </w:rPr>
        <w:t>Schiro, M.S. (2013). Curriculum Theory: Conflicting Visions and Enduring Concerns (2nd ed.). SAGE Publications.</w:t>
      </w: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7360"/>
      </w:tblGrid>
      <w:tr w:rsidR="002120B7" w14:paraId="54C82D0F" w14:textId="77777777">
        <w:tc>
          <w:tcPr>
            <w:tcW w:w="9360" w:type="dxa"/>
            <w:gridSpan w:val="2"/>
            <w:tcBorders>
              <w:top w:val="single" w:sz="8" w:space="0" w:color="2E75B6"/>
              <w:left w:val="single" w:sz="8" w:space="0" w:color="2E75B6"/>
              <w:bottom w:val="single" w:sz="8" w:space="0" w:color="2E75B6"/>
              <w:right w:val="single" w:sz="8" w:space="0" w:color="2E75B6"/>
            </w:tcBorders>
            <w:shd w:val="clear" w:color="auto" w:fill="2E75B6"/>
            <w:tcMar>
              <w:top w:w="160" w:type="dxa"/>
              <w:left w:w="200" w:type="dxa"/>
              <w:bottom w:w="160" w:type="dxa"/>
              <w:right w:w="200" w:type="dxa"/>
            </w:tcMar>
          </w:tcPr>
          <w:p w14:paraId="5DA31778" w14:textId="77777777" w:rsidR="002120B7" w:rsidRDefault="00000000">
            <w:pPr>
              <w:jc w:val="center"/>
            </w:pPr>
            <w:r>
              <w:rPr>
                <w:rFonts w:ascii="Arial" w:eastAsia="Arial" w:hAnsi="Arial" w:cs="Arial"/>
                <w:b/>
                <w:bCs/>
                <w:color w:val="FFFFFF"/>
                <w:sz w:val="28"/>
                <w:szCs w:val="28"/>
              </w:rPr>
              <w:t>Learner Centered Ideology</w:t>
            </w:r>
          </w:p>
        </w:tc>
      </w:tr>
      <w:tr w:rsidR="002120B7" w14:paraId="6EFFCCA4" w14:textId="77777777">
        <w:tc>
          <w:tcPr>
            <w:tcW w:w="2000" w:type="dxa"/>
            <w:tcBorders>
              <w:top w:val="single" w:sz="4" w:space="0" w:color="999999"/>
              <w:left w:val="single" w:sz="4" w:space="0" w:color="999999"/>
              <w:bottom w:val="single" w:sz="4" w:space="0" w:color="999999"/>
              <w:right w:val="single" w:sz="4" w:space="0" w:color="999999"/>
            </w:tcBorders>
            <w:shd w:val="clear" w:color="auto" w:fill="2E75B6"/>
            <w:tcMar>
              <w:top w:w="120" w:type="dxa"/>
              <w:left w:w="160" w:type="dxa"/>
              <w:bottom w:w="120" w:type="dxa"/>
              <w:right w:w="160" w:type="dxa"/>
            </w:tcMar>
            <w:vAlign w:val="center"/>
          </w:tcPr>
          <w:p w14:paraId="1E7589D1" w14:textId="77777777" w:rsidR="002120B7" w:rsidRDefault="00000000">
            <w:pPr>
              <w:jc w:val="center"/>
            </w:pPr>
            <w:r>
              <w:rPr>
                <w:rFonts w:ascii="Arial" w:eastAsia="Arial" w:hAnsi="Arial" w:cs="Arial"/>
                <w:b/>
                <w:bCs/>
                <w:color w:val="FFFFFF"/>
                <w:sz w:val="22"/>
                <w:szCs w:val="22"/>
              </w:rPr>
              <w:t>Aims</w:t>
            </w:r>
          </w:p>
        </w:tc>
        <w:tc>
          <w:tcPr>
            <w:tcW w:w="7360" w:type="dxa"/>
            <w:tcBorders>
              <w:top w:val="single" w:sz="4" w:space="0" w:color="999999"/>
              <w:left w:val="single" w:sz="4" w:space="0" w:color="999999"/>
              <w:bottom w:val="single" w:sz="4" w:space="0" w:color="999999"/>
              <w:right w:val="single" w:sz="4" w:space="0" w:color="999999"/>
            </w:tcBorders>
            <w:shd w:val="clear" w:color="auto" w:fill="D6E4F0"/>
            <w:tcMar>
              <w:top w:w="120" w:type="dxa"/>
              <w:left w:w="160" w:type="dxa"/>
              <w:bottom w:w="120" w:type="dxa"/>
              <w:right w:w="160" w:type="dxa"/>
            </w:tcMar>
          </w:tcPr>
          <w:p w14:paraId="1E34E9F3" w14:textId="77777777" w:rsidR="002120B7" w:rsidRDefault="00000000">
            <w:pPr>
              <w:jc w:val="both"/>
            </w:pPr>
            <w:r>
              <w:rPr>
                <w:rFonts w:ascii="Calibri" w:eastAsia="Calibri" w:hAnsi="Calibri" w:cs="Calibri"/>
                <w:color w:val="222222"/>
                <w:sz w:val="22"/>
                <w:szCs w:val="22"/>
              </w:rPr>
              <w:t>The purpose of education is to support the natural growth and self-actualization of every individual learner. Schools should nurture each child's unique potential by honoring their interests, needs, and developmental stage, not by imposing a predetermined set of facts or skills.</w:t>
            </w:r>
          </w:p>
        </w:tc>
      </w:tr>
      <w:tr w:rsidR="002120B7" w14:paraId="15BF2C23" w14:textId="77777777">
        <w:tc>
          <w:tcPr>
            <w:tcW w:w="2000" w:type="dxa"/>
            <w:tcBorders>
              <w:top w:val="single" w:sz="4" w:space="0" w:color="999999"/>
              <w:left w:val="single" w:sz="4" w:space="0" w:color="999999"/>
              <w:bottom w:val="single" w:sz="4" w:space="0" w:color="999999"/>
              <w:right w:val="single" w:sz="4" w:space="0" w:color="999999"/>
            </w:tcBorders>
            <w:shd w:val="clear" w:color="auto" w:fill="569DDE"/>
            <w:tcMar>
              <w:top w:w="120" w:type="dxa"/>
              <w:left w:w="160" w:type="dxa"/>
              <w:bottom w:w="120" w:type="dxa"/>
              <w:right w:w="160" w:type="dxa"/>
            </w:tcMar>
            <w:vAlign w:val="center"/>
          </w:tcPr>
          <w:p w14:paraId="665AA6B6" w14:textId="77777777" w:rsidR="002120B7" w:rsidRDefault="00000000">
            <w:pPr>
              <w:jc w:val="center"/>
            </w:pPr>
            <w:r>
              <w:rPr>
                <w:rFonts w:ascii="Arial" w:eastAsia="Arial" w:hAnsi="Arial" w:cs="Arial"/>
                <w:b/>
                <w:bCs/>
                <w:color w:val="FFFFFF"/>
                <w:sz w:val="22"/>
                <w:szCs w:val="22"/>
              </w:rPr>
              <w:t>Child</w:t>
            </w:r>
          </w:p>
        </w:tc>
        <w:tc>
          <w:tcPr>
            <w:tcW w:w="7360" w:type="dxa"/>
            <w:tcBorders>
              <w:top w:val="single" w:sz="4" w:space="0" w:color="999999"/>
              <w:left w:val="single" w:sz="4" w:space="0" w:color="999999"/>
              <w:bottom w:val="single" w:sz="4" w:space="0" w:color="999999"/>
              <w:right w:val="single" w:sz="4" w:space="0" w:color="999999"/>
            </w:tcBorders>
            <w:shd w:val="clear" w:color="auto" w:fill="F5F5F5"/>
            <w:tcMar>
              <w:top w:w="120" w:type="dxa"/>
              <w:left w:w="160" w:type="dxa"/>
              <w:bottom w:w="120" w:type="dxa"/>
              <w:right w:w="160" w:type="dxa"/>
            </w:tcMar>
          </w:tcPr>
          <w:p w14:paraId="3EBA8CFA" w14:textId="77777777" w:rsidR="002120B7" w:rsidRDefault="00000000">
            <w:pPr>
              <w:jc w:val="both"/>
            </w:pPr>
            <w:r>
              <w:rPr>
                <w:rFonts w:ascii="Calibri" w:eastAsia="Calibri" w:hAnsi="Calibri" w:cs="Calibri"/>
                <w:color w:val="222222"/>
                <w:sz w:val="22"/>
                <w:szCs w:val="22"/>
              </w:rPr>
              <w:t xml:space="preserve">Children are seen as naturally curious, inherently good, and capable of directing their own learning. They are active meaning-makers who grow through their own experiences. Each child is unique, and their individuality and developmental stage must be </w:t>
            </w:r>
            <w:proofErr w:type="gramStart"/>
            <w:r>
              <w:rPr>
                <w:rFonts w:ascii="Calibri" w:eastAsia="Calibri" w:hAnsi="Calibri" w:cs="Calibri"/>
                <w:color w:val="222222"/>
                <w:sz w:val="22"/>
                <w:szCs w:val="22"/>
              </w:rPr>
              <w:t>respected at all times</w:t>
            </w:r>
            <w:proofErr w:type="gramEnd"/>
            <w:r>
              <w:rPr>
                <w:rFonts w:ascii="Calibri" w:eastAsia="Calibri" w:hAnsi="Calibri" w:cs="Calibri"/>
                <w:color w:val="222222"/>
                <w:sz w:val="22"/>
                <w:szCs w:val="22"/>
              </w:rPr>
              <w:t>.</w:t>
            </w:r>
          </w:p>
        </w:tc>
      </w:tr>
      <w:tr w:rsidR="002120B7" w14:paraId="4201F17B" w14:textId="77777777">
        <w:tc>
          <w:tcPr>
            <w:tcW w:w="2000" w:type="dxa"/>
            <w:tcBorders>
              <w:top w:val="single" w:sz="4" w:space="0" w:color="999999"/>
              <w:left w:val="single" w:sz="4" w:space="0" w:color="999999"/>
              <w:bottom w:val="single" w:sz="4" w:space="0" w:color="999999"/>
              <w:right w:val="single" w:sz="4" w:space="0" w:color="999999"/>
            </w:tcBorders>
            <w:shd w:val="clear" w:color="auto" w:fill="2E75B6"/>
            <w:tcMar>
              <w:top w:w="120" w:type="dxa"/>
              <w:left w:w="160" w:type="dxa"/>
              <w:bottom w:w="120" w:type="dxa"/>
              <w:right w:w="160" w:type="dxa"/>
            </w:tcMar>
            <w:vAlign w:val="center"/>
          </w:tcPr>
          <w:p w14:paraId="620D01F8" w14:textId="77777777" w:rsidR="002120B7" w:rsidRDefault="00000000">
            <w:pPr>
              <w:jc w:val="center"/>
            </w:pPr>
            <w:r>
              <w:rPr>
                <w:rFonts w:ascii="Arial" w:eastAsia="Arial" w:hAnsi="Arial" w:cs="Arial"/>
                <w:b/>
                <w:bCs/>
                <w:color w:val="FFFFFF"/>
                <w:sz w:val="22"/>
                <w:szCs w:val="22"/>
              </w:rPr>
              <w:t>Learning</w:t>
            </w:r>
          </w:p>
        </w:tc>
        <w:tc>
          <w:tcPr>
            <w:tcW w:w="7360" w:type="dxa"/>
            <w:tcBorders>
              <w:top w:val="single" w:sz="4" w:space="0" w:color="999999"/>
              <w:left w:val="single" w:sz="4" w:space="0" w:color="999999"/>
              <w:bottom w:val="single" w:sz="4" w:space="0" w:color="999999"/>
              <w:right w:val="single" w:sz="4" w:space="0" w:color="999999"/>
            </w:tcBorders>
            <w:shd w:val="clear" w:color="auto" w:fill="D6E4F0"/>
            <w:tcMar>
              <w:top w:w="120" w:type="dxa"/>
              <w:left w:w="160" w:type="dxa"/>
              <w:bottom w:w="120" w:type="dxa"/>
              <w:right w:w="160" w:type="dxa"/>
            </w:tcMar>
          </w:tcPr>
          <w:p w14:paraId="28117D55" w14:textId="77777777" w:rsidR="002120B7" w:rsidRDefault="00000000">
            <w:pPr>
              <w:jc w:val="both"/>
            </w:pPr>
            <w:r>
              <w:rPr>
                <w:rFonts w:ascii="Calibri" w:eastAsia="Calibri" w:hAnsi="Calibri" w:cs="Calibri"/>
                <w:color w:val="222222"/>
                <w:sz w:val="22"/>
                <w:szCs w:val="22"/>
              </w:rPr>
              <w:t>Learning is a constructive, personal process that happens when children actively engage with a rich, stimulating environment. It is experiential and hands-on; children build knowledge by interacting with the world around them rather than passively receiving information from a teacher.</w:t>
            </w:r>
          </w:p>
        </w:tc>
      </w:tr>
      <w:tr w:rsidR="002120B7" w14:paraId="220373AC" w14:textId="77777777">
        <w:tc>
          <w:tcPr>
            <w:tcW w:w="2000" w:type="dxa"/>
            <w:tcBorders>
              <w:top w:val="single" w:sz="4" w:space="0" w:color="999999"/>
              <w:left w:val="single" w:sz="4" w:space="0" w:color="999999"/>
              <w:bottom w:val="single" w:sz="4" w:space="0" w:color="999999"/>
              <w:right w:val="single" w:sz="4" w:space="0" w:color="999999"/>
            </w:tcBorders>
            <w:shd w:val="clear" w:color="auto" w:fill="569DDE"/>
            <w:tcMar>
              <w:top w:w="120" w:type="dxa"/>
              <w:left w:w="160" w:type="dxa"/>
              <w:bottom w:w="120" w:type="dxa"/>
              <w:right w:w="160" w:type="dxa"/>
            </w:tcMar>
            <w:vAlign w:val="center"/>
          </w:tcPr>
          <w:p w14:paraId="5F99E016" w14:textId="77777777" w:rsidR="002120B7" w:rsidRDefault="00000000">
            <w:pPr>
              <w:jc w:val="center"/>
            </w:pPr>
            <w:r>
              <w:rPr>
                <w:rFonts w:ascii="Arial" w:eastAsia="Arial" w:hAnsi="Arial" w:cs="Arial"/>
                <w:b/>
                <w:bCs/>
                <w:color w:val="FFFFFF"/>
                <w:sz w:val="22"/>
                <w:szCs w:val="22"/>
              </w:rPr>
              <w:t>Teaching</w:t>
            </w:r>
          </w:p>
        </w:tc>
        <w:tc>
          <w:tcPr>
            <w:tcW w:w="7360" w:type="dxa"/>
            <w:tcBorders>
              <w:top w:val="single" w:sz="4" w:space="0" w:color="999999"/>
              <w:left w:val="single" w:sz="4" w:space="0" w:color="999999"/>
              <w:bottom w:val="single" w:sz="4" w:space="0" w:color="999999"/>
              <w:right w:val="single" w:sz="4" w:space="0" w:color="999999"/>
            </w:tcBorders>
            <w:shd w:val="clear" w:color="auto" w:fill="F5F5F5"/>
            <w:tcMar>
              <w:top w:w="120" w:type="dxa"/>
              <w:left w:w="160" w:type="dxa"/>
              <w:bottom w:w="120" w:type="dxa"/>
              <w:right w:w="160" w:type="dxa"/>
            </w:tcMar>
          </w:tcPr>
          <w:p w14:paraId="2D36951E" w14:textId="77777777" w:rsidR="002120B7" w:rsidRDefault="00000000">
            <w:pPr>
              <w:jc w:val="both"/>
            </w:pPr>
            <w:r>
              <w:rPr>
                <w:rFonts w:ascii="Calibri" w:eastAsia="Calibri" w:hAnsi="Calibri" w:cs="Calibri"/>
                <w:color w:val="222222"/>
                <w:sz w:val="22"/>
                <w:szCs w:val="22"/>
              </w:rPr>
              <w:t>The teacher serves as a diagnostician, environment designer, and facilitator rather than an instructor or authority figure. Teachers observe students closely, design meaningful learning experiences based on students' interests and needs, and guide growth without controlling or directing it.</w:t>
            </w:r>
          </w:p>
        </w:tc>
      </w:tr>
      <w:tr w:rsidR="002120B7" w14:paraId="5EFBE3DE" w14:textId="77777777">
        <w:tc>
          <w:tcPr>
            <w:tcW w:w="2000" w:type="dxa"/>
            <w:tcBorders>
              <w:top w:val="single" w:sz="4" w:space="0" w:color="999999"/>
              <w:left w:val="single" w:sz="4" w:space="0" w:color="999999"/>
              <w:bottom w:val="single" w:sz="4" w:space="0" w:color="999999"/>
              <w:right w:val="single" w:sz="4" w:space="0" w:color="999999"/>
            </w:tcBorders>
            <w:shd w:val="clear" w:color="auto" w:fill="2E75B6"/>
            <w:tcMar>
              <w:top w:w="120" w:type="dxa"/>
              <w:left w:w="160" w:type="dxa"/>
              <w:bottom w:w="120" w:type="dxa"/>
              <w:right w:w="160" w:type="dxa"/>
            </w:tcMar>
            <w:vAlign w:val="center"/>
          </w:tcPr>
          <w:p w14:paraId="797943CE" w14:textId="77777777" w:rsidR="002120B7" w:rsidRDefault="00000000">
            <w:pPr>
              <w:jc w:val="center"/>
            </w:pPr>
            <w:r>
              <w:rPr>
                <w:rFonts w:ascii="Arial" w:eastAsia="Arial" w:hAnsi="Arial" w:cs="Arial"/>
                <w:b/>
                <w:bCs/>
                <w:color w:val="FFFFFF"/>
                <w:sz w:val="22"/>
                <w:szCs w:val="22"/>
              </w:rPr>
              <w:t>Knowledge</w:t>
            </w:r>
          </w:p>
        </w:tc>
        <w:tc>
          <w:tcPr>
            <w:tcW w:w="7360" w:type="dxa"/>
            <w:tcBorders>
              <w:top w:val="single" w:sz="4" w:space="0" w:color="999999"/>
              <w:left w:val="single" w:sz="4" w:space="0" w:color="999999"/>
              <w:bottom w:val="single" w:sz="4" w:space="0" w:color="999999"/>
              <w:right w:val="single" w:sz="4" w:space="0" w:color="999999"/>
            </w:tcBorders>
            <w:shd w:val="clear" w:color="auto" w:fill="D6E4F0"/>
            <w:tcMar>
              <w:top w:w="120" w:type="dxa"/>
              <w:left w:w="160" w:type="dxa"/>
              <w:bottom w:w="120" w:type="dxa"/>
              <w:right w:w="160" w:type="dxa"/>
            </w:tcMar>
          </w:tcPr>
          <w:p w14:paraId="3C2B2A20" w14:textId="77777777" w:rsidR="002120B7" w:rsidRDefault="00000000">
            <w:pPr>
              <w:jc w:val="both"/>
            </w:pPr>
            <w:r>
              <w:rPr>
                <w:rFonts w:ascii="Calibri" w:eastAsia="Calibri" w:hAnsi="Calibri" w:cs="Calibri"/>
                <w:color w:val="222222"/>
                <w:sz w:val="22"/>
                <w:szCs w:val="22"/>
              </w:rPr>
              <w:t>Worthwhile knowledge is subjective and personal; it is the meaning each learner personally constructs from their experiences. Because knowledge is tied to the individual who creates it, there is no single correct body of content; what matters is the process of meaning-making itself.</w:t>
            </w:r>
          </w:p>
        </w:tc>
      </w:tr>
      <w:tr w:rsidR="002120B7" w14:paraId="3AB3AF32" w14:textId="77777777">
        <w:tc>
          <w:tcPr>
            <w:tcW w:w="2000" w:type="dxa"/>
            <w:tcBorders>
              <w:top w:val="single" w:sz="4" w:space="0" w:color="999999"/>
              <w:left w:val="single" w:sz="4" w:space="0" w:color="999999"/>
              <w:bottom w:val="single" w:sz="4" w:space="0" w:color="999999"/>
              <w:right w:val="single" w:sz="4" w:space="0" w:color="999999"/>
            </w:tcBorders>
            <w:shd w:val="clear" w:color="auto" w:fill="569DDE"/>
            <w:tcMar>
              <w:top w:w="120" w:type="dxa"/>
              <w:left w:w="160" w:type="dxa"/>
              <w:bottom w:w="120" w:type="dxa"/>
              <w:right w:w="160" w:type="dxa"/>
            </w:tcMar>
            <w:vAlign w:val="center"/>
          </w:tcPr>
          <w:p w14:paraId="0061981D" w14:textId="77777777" w:rsidR="002120B7" w:rsidRDefault="00000000">
            <w:pPr>
              <w:jc w:val="center"/>
            </w:pPr>
            <w:r>
              <w:rPr>
                <w:rFonts w:ascii="Arial" w:eastAsia="Arial" w:hAnsi="Arial" w:cs="Arial"/>
                <w:b/>
                <w:bCs/>
                <w:color w:val="FFFFFF"/>
                <w:sz w:val="22"/>
                <w:szCs w:val="22"/>
              </w:rPr>
              <w:t>Evaluation</w:t>
            </w:r>
          </w:p>
        </w:tc>
        <w:tc>
          <w:tcPr>
            <w:tcW w:w="7360" w:type="dxa"/>
            <w:tcBorders>
              <w:top w:val="single" w:sz="4" w:space="0" w:color="999999"/>
              <w:left w:val="single" w:sz="4" w:space="0" w:color="999999"/>
              <w:bottom w:val="single" w:sz="4" w:space="0" w:color="999999"/>
              <w:right w:val="single" w:sz="4" w:space="0" w:color="999999"/>
            </w:tcBorders>
            <w:shd w:val="clear" w:color="auto" w:fill="F5F5F5"/>
            <w:tcMar>
              <w:top w:w="120" w:type="dxa"/>
              <w:left w:w="160" w:type="dxa"/>
              <w:bottom w:w="120" w:type="dxa"/>
              <w:right w:w="160" w:type="dxa"/>
            </w:tcMar>
          </w:tcPr>
          <w:p w14:paraId="3B15498E" w14:textId="77777777" w:rsidR="002120B7" w:rsidRDefault="00000000">
            <w:pPr>
              <w:jc w:val="both"/>
            </w:pPr>
            <w:r>
              <w:rPr>
                <w:rFonts w:ascii="Calibri" w:eastAsia="Calibri" w:hAnsi="Calibri" w:cs="Calibri"/>
                <w:color w:val="222222"/>
                <w:sz w:val="22"/>
                <w:szCs w:val="22"/>
              </w:rPr>
              <w:t>Evaluation is ongoing, informal, and focused on facilitating each student's individual growth rather than ranking or grading. Standardized tests are rejected in favor of authentic assessment tools such as portfolios, naturalistic observation, and written narratives describing student progress.</w:t>
            </w:r>
          </w:p>
        </w:tc>
      </w:tr>
    </w:tbl>
    <w:p w14:paraId="1A54D487" w14:textId="77777777" w:rsidR="002120B7" w:rsidRDefault="002120B7">
      <w:pPr>
        <w:spacing w:before="300"/>
      </w:pPr>
    </w:p>
    <w:p w14:paraId="4369FDD5" w14:textId="77777777" w:rsidR="002120B7" w:rsidRDefault="002120B7">
      <w:pPr>
        <w:pBdr>
          <w:bottom w:val="single" w:sz="8" w:space="4" w:color="2E75B6"/>
        </w:pBdr>
        <w:spacing w:before="320" w:after="160"/>
        <w:rPr>
          <w:rFonts w:ascii="Arial" w:eastAsia="Arial" w:hAnsi="Arial" w:cs="Arial"/>
          <w:b/>
          <w:bCs/>
          <w:color w:val="2E75B6"/>
          <w:sz w:val="28"/>
          <w:szCs w:val="28"/>
        </w:rPr>
      </w:pPr>
    </w:p>
    <w:p w14:paraId="543BB676" w14:textId="77777777" w:rsidR="002120B7" w:rsidRDefault="002120B7">
      <w:pPr>
        <w:pBdr>
          <w:bottom w:val="single" w:sz="8" w:space="4" w:color="2E75B6"/>
        </w:pBdr>
        <w:spacing w:before="320" w:after="160"/>
        <w:rPr>
          <w:rFonts w:ascii="Arial" w:eastAsia="Arial" w:hAnsi="Arial" w:cs="Arial"/>
          <w:b/>
          <w:bCs/>
          <w:color w:val="2E75B6"/>
          <w:sz w:val="28"/>
          <w:szCs w:val="28"/>
        </w:rPr>
      </w:pPr>
    </w:p>
    <w:p w14:paraId="11D39DCB" w14:textId="77777777" w:rsidR="002120B7" w:rsidRDefault="00000000">
      <w:pPr>
        <w:pBdr>
          <w:bottom w:val="single" w:sz="8" w:space="4" w:color="2E75B6"/>
        </w:pBdr>
        <w:spacing w:before="320" w:after="160"/>
      </w:pPr>
      <w:r>
        <w:rPr>
          <w:rFonts w:ascii="Arial" w:eastAsia="Arial" w:hAnsi="Arial" w:cs="Arial"/>
          <w:b/>
          <w:bCs/>
          <w:color w:val="2E75B6"/>
          <w:sz w:val="28"/>
          <w:szCs w:val="28"/>
        </w:rPr>
        <w:lastRenderedPageBreak/>
        <w:t>Understanding the Learner Centered Ideology</w:t>
      </w:r>
    </w:p>
    <w:p w14:paraId="7E592ED0" w14:textId="77777777" w:rsidR="002120B7" w:rsidRDefault="002120B7">
      <w:pPr>
        <w:spacing w:before="80"/>
      </w:pPr>
    </w:p>
    <w:p w14:paraId="3E65D900" w14:textId="77777777" w:rsidR="002120B7" w:rsidRDefault="00000000">
      <w:pPr>
        <w:spacing w:after="140"/>
        <w:jc w:val="both"/>
      </w:pPr>
      <w:r>
        <w:rPr>
          <w:rFonts w:ascii="Calibri" w:eastAsia="Calibri" w:hAnsi="Calibri" w:cs="Calibri"/>
          <w:color w:val="222222"/>
          <w:sz w:val="24"/>
          <w:szCs w:val="24"/>
        </w:rPr>
        <w:t xml:space="preserve">The Learner Centered ideology, as described in Schiro's Curriculum Theory, places the child at the very center of all educational decisions. The teacher's job is to observe, listen, and design rich learning experiences that respond to each student's unique interests, needs, and developmental stage. In a Learner Centered school, children choose what they want to explore, build knowledge through direct experience, and are evaluated through ongoing, individualized observation rather than standardized testing. The </w:t>
      </w:r>
      <w:proofErr w:type="gramStart"/>
      <w:r>
        <w:rPr>
          <w:rFonts w:ascii="Calibri" w:eastAsia="Calibri" w:hAnsi="Calibri" w:cs="Calibri"/>
          <w:color w:val="222222"/>
          <w:sz w:val="24"/>
          <w:szCs w:val="24"/>
        </w:rPr>
        <w:t>ultimate aim</w:t>
      </w:r>
      <w:proofErr w:type="gramEnd"/>
      <w:r>
        <w:rPr>
          <w:rFonts w:ascii="Calibri" w:eastAsia="Calibri" w:hAnsi="Calibri" w:cs="Calibri"/>
          <w:color w:val="222222"/>
          <w:sz w:val="24"/>
          <w:szCs w:val="24"/>
        </w:rPr>
        <w:t xml:space="preserve"> is not the transmission of a fixed body of content, but the full, holistic development and self-actualization of the individual learner.</w:t>
      </w:r>
    </w:p>
    <w:p w14:paraId="64429D01" w14:textId="77777777" w:rsidR="002120B7" w:rsidRDefault="00000000">
      <w:pPr>
        <w:spacing w:after="140"/>
        <w:jc w:val="both"/>
      </w:pPr>
      <w:r>
        <w:rPr>
          <w:rFonts w:ascii="Calibri" w:eastAsia="Calibri" w:hAnsi="Calibri" w:cs="Calibri"/>
          <w:color w:val="222222"/>
          <w:sz w:val="24"/>
          <w:szCs w:val="24"/>
        </w:rPr>
        <w:t>Understanding this ideology sheds light on the tensions that exist between child-centered educational philosophy and the policies that govern most American public schools today. As you read the chapter, you may find yourself thinking about the students in your own classroom; their curiosity, their unique ways of learning, and the moments when the system's one-size-fits-all demands do not fit them at all.</w:t>
      </w:r>
    </w:p>
    <w:p w14:paraId="6A8E1E8E" w14:textId="77777777" w:rsidR="002120B7" w:rsidRDefault="00000000">
      <w:pPr>
        <w:spacing w:after="140"/>
        <w:jc w:val="both"/>
      </w:pPr>
      <w:r>
        <w:rPr>
          <w:rFonts w:ascii="Calibri" w:eastAsia="Calibri" w:hAnsi="Calibri" w:cs="Calibri"/>
          <w:color w:val="222222"/>
          <w:sz w:val="24"/>
          <w:szCs w:val="24"/>
        </w:rPr>
        <w:t>Reflection Question: In your own teaching experience, in what ways have you been able to create a learner-centered environment for your students? What barriers, structural, institutional, or cultural, have made it difficult to keep the child at the center of your work?</w:t>
      </w:r>
    </w:p>
    <w:p w14:paraId="69371CB4" w14:textId="77777777" w:rsidR="002120B7" w:rsidRDefault="002120B7">
      <w:pPr>
        <w:spacing w:before="200"/>
      </w:pPr>
    </w:p>
    <w:p w14:paraId="02550D8C" w14:textId="77777777" w:rsidR="002120B7" w:rsidRDefault="00000000">
      <w:pPr>
        <w:pBdr>
          <w:left w:val="single" w:sz="16" w:space="12" w:color="2E75B6"/>
        </w:pBdr>
        <w:spacing w:before="200" w:after="80"/>
        <w:ind w:left="280"/>
      </w:pPr>
      <w:r>
        <w:rPr>
          <w:rFonts w:ascii="Arial" w:eastAsia="Arial" w:hAnsi="Arial" w:cs="Arial"/>
          <w:b/>
          <w:bCs/>
          <w:color w:val="2E75B6"/>
          <w:sz w:val="24"/>
          <w:szCs w:val="24"/>
        </w:rPr>
        <w:t>Reflection</w:t>
      </w:r>
    </w:p>
    <w:p w14:paraId="13F55368" w14:textId="77777777" w:rsidR="002120B7" w:rsidRDefault="00000000">
      <w:pPr>
        <w:spacing w:after="120"/>
        <w:ind w:left="280"/>
        <w:jc w:val="both"/>
      </w:pPr>
      <w:r>
        <w:rPr>
          <w:rFonts w:ascii="Calibri" w:eastAsia="Calibri" w:hAnsi="Calibri" w:cs="Calibri"/>
          <w:i/>
          <w:iCs/>
          <w:color w:val="555555"/>
          <w:sz w:val="22"/>
          <w:szCs w:val="22"/>
        </w:rPr>
        <w:t>In your own teaching experience, in what ways have you been able to create a learner-centered environment for your students? What barriers, structural, institutional, or cultural, have made it difficult to keep the child at the center of your work?</w:t>
      </w:r>
    </w:p>
    <w:p w14:paraId="458D8251" w14:textId="77777777" w:rsidR="002120B7" w:rsidRDefault="002120B7">
      <w:pPr>
        <w:spacing w:before="200"/>
      </w:pPr>
    </w:p>
    <w:p w14:paraId="60CD3D7B" w14:textId="77777777" w:rsidR="002120B7" w:rsidRDefault="00000000">
      <w:pPr>
        <w:pBdr>
          <w:bottom w:val="single" w:sz="8" w:space="4" w:color="2E75B6"/>
        </w:pBdr>
        <w:spacing w:before="320" w:after="160"/>
      </w:pPr>
      <w:r>
        <w:rPr>
          <w:rFonts w:ascii="Arial" w:eastAsia="Arial" w:hAnsi="Arial" w:cs="Arial"/>
          <w:b/>
          <w:bCs/>
          <w:color w:val="2E75B6"/>
          <w:sz w:val="24"/>
          <w:szCs w:val="24"/>
        </w:rPr>
        <w:t>Reference</w:t>
      </w:r>
    </w:p>
    <w:p w14:paraId="3CBC92A4" w14:textId="77777777" w:rsidR="002120B7" w:rsidRDefault="00000000">
      <w:pPr>
        <w:spacing w:before="80"/>
        <w:ind w:left="720" w:hanging="720"/>
      </w:pPr>
      <w:r>
        <w:rPr>
          <w:rFonts w:ascii="Calibri" w:eastAsia="Calibri" w:hAnsi="Calibri" w:cs="Calibri"/>
          <w:color w:val="222222"/>
          <w:sz w:val="22"/>
          <w:szCs w:val="22"/>
        </w:rPr>
        <w:t xml:space="preserve">Schiro, M. S. (2013). </w:t>
      </w:r>
      <w:r>
        <w:rPr>
          <w:rFonts w:ascii="Calibri" w:eastAsia="Calibri" w:hAnsi="Calibri" w:cs="Calibri"/>
          <w:i/>
          <w:iCs/>
          <w:color w:val="555555"/>
          <w:sz w:val="22"/>
          <w:szCs w:val="22"/>
        </w:rPr>
        <w:t xml:space="preserve">Curriculum Theory: Conflicting Visions and Enduring Concerns </w:t>
      </w:r>
      <w:r>
        <w:rPr>
          <w:rFonts w:ascii="Calibri" w:eastAsia="Calibri" w:hAnsi="Calibri" w:cs="Calibri"/>
          <w:color w:val="222222"/>
          <w:sz w:val="22"/>
          <w:szCs w:val="22"/>
        </w:rPr>
        <w:t>(2nd ed.). SAGE Publications.</w:t>
      </w:r>
    </w:p>
    <w:sectPr w:rsidR="002120B7">
      <w:headerReference w:type="default" r:id="rId7"/>
      <w:pgSz w:w="12240" w:h="15840"/>
      <w:pgMar w:top="1296" w:right="1296" w:bottom="1296" w:left="129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B36DB" w14:textId="77777777" w:rsidR="00055155" w:rsidRDefault="00055155">
      <w:r>
        <w:separator/>
      </w:r>
    </w:p>
  </w:endnote>
  <w:endnote w:type="continuationSeparator" w:id="0">
    <w:p w14:paraId="13FE3616" w14:textId="77777777" w:rsidR="00055155" w:rsidRDefault="0005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56148E1-46B5-E844-B373-B65670B1B389}"/>
    <w:embedBold r:id="rId2" w:fontKey="{6C356745-BA1B-6E4D-B98C-DFF0EB9EB7EB}"/>
    <w:embedItalic r:id="rId3" w:fontKey="{42AA1508-3AE1-7540-914F-3DDE6DB6BB28}"/>
  </w:font>
  <w:font w:name="Georgia">
    <w:panose1 w:val="02040502050405020303"/>
    <w:charset w:val="00"/>
    <w:family w:val="roman"/>
    <w:pitch w:val="variable"/>
    <w:sig w:usb0="00000287" w:usb1="00000000" w:usb2="00000000" w:usb3="00000000" w:csb0="0000009F" w:csb1="00000000"/>
    <w:embedItalic r:id="rId4" w:fontKey="{BB9BB23D-E4F7-334A-84E9-C85671461CD8}"/>
  </w:font>
  <w:font w:name="Arial">
    <w:panose1 w:val="020B0604020202020204"/>
    <w:charset w:val="00"/>
    <w:family w:val="swiss"/>
    <w:pitch w:val="variable"/>
    <w:sig w:usb0="E0002AFF" w:usb1="C0007843" w:usb2="00000009" w:usb3="00000000" w:csb0="000001FF" w:csb1="00000000"/>
    <w:embedBold r:id="rId5" w:fontKey="{260A4293-8A30-C345-9DD3-97EC1AEBC9DB}"/>
  </w:font>
  <w:font w:name="Calibri">
    <w:panose1 w:val="020F0502020204030204"/>
    <w:charset w:val="00"/>
    <w:family w:val="swiss"/>
    <w:pitch w:val="variable"/>
    <w:sig w:usb0="E0002AFF" w:usb1="C000247B" w:usb2="00000009" w:usb3="00000000" w:csb0="000001FF" w:csb1="00000000"/>
    <w:embedRegular r:id="rId6" w:fontKey="{C6AA1B51-7FF7-F34F-9F1C-6D8309D8413D}"/>
    <w:embedItalic r:id="rId7" w:fontKey="{C449470D-6DD1-9E4A-AAC5-FD9BECC7EBA2}"/>
  </w:font>
  <w:font w:name="Cambria">
    <w:panose1 w:val="02040503050406030204"/>
    <w:charset w:val="00"/>
    <w:family w:val="roman"/>
    <w:pitch w:val="variable"/>
    <w:sig w:usb0="E00002FF" w:usb1="400004FF" w:usb2="00000000" w:usb3="00000000" w:csb0="0000019F" w:csb1="00000000"/>
    <w:embedRegular r:id="rId8" w:fontKey="{718F9916-0CEB-6448-8E83-3F1E39A510C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FE08D" w14:textId="77777777" w:rsidR="00055155" w:rsidRDefault="00055155">
      <w:r>
        <w:separator/>
      </w:r>
    </w:p>
  </w:footnote>
  <w:footnote w:type="continuationSeparator" w:id="0">
    <w:p w14:paraId="5D2650F1" w14:textId="77777777" w:rsidR="00055155" w:rsidRDefault="00055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B984" w14:textId="77777777" w:rsidR="002120B7" w:rsidRDefault="00000000">
    <w:pPr>
      <w:pBdr>
        <w:bottom w:val="single" w:sz="6" w:space="4" w:color="2E75B6"/>
      </w:pBdr>
      <w:tabs>
        <w:tab w:val="right" w:pos="9360"/>
      </w:tabs>
      <w:spacing w:after="80"/>
    </w:pPr>
    <w:r>
      <w:rPr>
        <w:rFonts w:ascii="Calibri" w:eastAsia="Calibri" w:hAnsi="Calibri" w:cs="Calibri"/>
        <w:color w:val="555555"/>
        <w:sz w:val="18"/>
        <w:szCs w:val="18"/>
      </w:rPr>
      <w:t xml:space="preserve">Learner Centered </w:t>
    </w:r>
    <w:proofErr w:type="spellStart"/>
    <w:r>
      <w:rPr>
        <w:rFonts w:ascii="Calibri" w:eastAsia="Calibri" w:hAnsi="Calibri" w:cs="Calibri"/>
        <w:color w:val="555555"/>
        <w:sz w:val="18"/>
        <w:szCs w:val="18"/>
      </w:rPr>
      <w:t>Ideology</w:t>
    </w:r>
    <w:r>
      <w:rPr>
        <w:rFonts w:ascii="Calibri" w:eastAsia="Calibri" w:hAnsi="Calibri" w:cs="Calibri"/>
        <w:i/>
        <w:iCs/>
        <w:color w:val="555555"/>
        <w:sz w:val="18"/>
        <w:szCs w:val="18"/>
      </w:rPr>
      <w:t>Schiro</w:t>
    </w:r>
    <w:proofErr w:type="spellEnd"/>
    <w:r>
      <w:rPr>
        <w:rFonts w:ascii="Calibri" w:eastAsia="Calibri" w:hAnsi="Calibri" w:cs="Calibri"/>
        <w:i/>
        <w:iCs/>
        <w:color w:val="555555"/>
        <w:sz w:val="18"/>
        <w:szCs w:val="18"/>
      </w:rPr>
      <w:t>, M.S. | Curriculum Theory, 2nd 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0B7"/>
    <w:rsid w:val="00055155"/>
    <w:rsid w:val="00182E9C"/>
    <w:rsid w:val="002120B7"/>
    <w:rsid w:val="00305675"/>
    <w:rsid w:val="004E0CAA"/>
    <w:rsid w:val="006D70AB"/>
    <w:rsid w:val="00E05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D3A77B"/>
  <w15:docId w15:val="{41E3484D-9CB1-2C4D-9DC3-A4686645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KiadZocIFKf3vX/ei1EOLH0TxA==">CgMxLjA4AHIhMVBUeS05UWhac3NTTjVETkxMeXhCRUFIQ3pyeUlWYTdF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532</Words>
  <Characters>3184</Characters>
  <Application>Microsoft Office Word</Application>
  <DocSecurity>0</DocSecurity>
  <Lines>65</Lines>
  <Paragraphs>24</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Sharhonda Faye Sculark</cp:lastModifiedBy>
  <cp:revision>2</cp:revision>
  <dcterms:created xsi:type="dcterms:W3CDTF">2026-04-11T01:07:00Z</dcterms:created>
  <dcterms:modified xsi:type="dcterms:W3CDTF">2026-04-11T01:07:00Z</dcterms:modified>
</cp:coreProperties>
</file>